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0" w:type="dxa"/>
        <w:tblInd w:w="-754" w:type="dxa"/>
        <w:tblLayout w:type="fixed"/>
        <w:tblLook w:val="01E0" w:firstRow="1" w:lastRow="1" w:firstColumn="1" w:lastColumn="1" w:noHBand="0" w:noVBand="0"/>
      </w:tblPr>
      <w:tblGrid>
        <w:gridCol w:w="2410"/>
        <w:gridCol w:w="4678"/>
        <w:gridCol w:w="2245"/>
        <w:gridCol w:w="307"/>
      </w:tblGrid>
      <w:tr w:rsidR="00ED4897" w:rsidRPr="007A2868" w:rsidTr="00186DC1">
        <w:tc>
          <w:tcPr>
            <w:tcW w:w="9640" w:type="dxa"/>
            <w:gridSpan w:val="4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  <w:shd w:val="clear" w:color="auto" w:fill="F7A17A"/>
          </w:tcPr>
          <w:p w:rsidR="00ED4897" w:rsidRPr="007A2868" w:rsidRDefault="00585142" w:rsidP="00AA03EA">
            <w:pPr>
              <w:spacing w:before="240" w:after="240"/>
              <w:ind w:left="72"/>
              <w:jc w:val="center"/>
              <w:rPr>
                <w:rFonts w:ascii="Verdana" w:hAnsi="Verdana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2868">
              <w:rPr>
                <w:rFonts w:ascii="Verdana" w:hAnsi="Verdana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SALES DISCLAIMER</w:t>
            </w:r>
          </w:p>
          <w:p w:rsidR="00ED4897" w:rsidRPr="007A2868" w:rsidRDefault="00ED4897" w:rsidP="00AA03EA">
            <w:pPr>
              <w:spacing w:before="240" w:after="240"/>
              <w:ind w:left="72"/>
              <w:jc w:val="center"/>
              <w:rPr>
                <w:rFonts w:ascii="Verdana" w:hAnsi="Verdana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2868">
              <w:rPr>
                <w:rFonts w:ascii="Verdana" w:hAnsi="Verdana" w:cs="Arial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 the sale or donation of second hand </w:t>
            </w:r>
            <w:r w:rsidR="00FD690C" w:rsidRPr="007A2868">
              <w:rPr>
                <w:rFonts w:ascii="Verdana" w:hAnsi="Verdana" w:cs="Arial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electrical </w:t>
            </w:r>
            <w:r w:rsidRPr="007A2868">
              <w:rPr>
                <w:rFonts w:ascii="Verdana" w:hAnsi="Verdana" w:cs="Arial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equipment</w:t>
            </w:r>
          </w:p>
        </w:tc>
      </w:tr>
      <w:tr w:rsidR="00585142" w:rsidRPr="007A2868" w:rsidTr="00186DC1">
        <w:trPr>
          <w:trHeight w:val="568"/>
        </w:trPr>
        <w:tc>
          <w:tcPr>
            <w:tcW w:w="9640" w:type="dxa"/>
            <w:gridSpan w:val="4"/>
            <w:tcBorders>
              <w:top w:val="double" w:sz="6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585142" w:rsidRPr="007A2868" w:rsidRDefault="00585142" w:rsidP="00AA03EA">
            <w:pPr>
              <w:spacing w:before="120" w:after="60"/>
              <w:ind w:left="72"/>
              <w:rPr>
                <w:rFonts w:ascii="Verdana" w:hAnsi="Verdana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2868">
              <w:rPr>
                <w:rFonts w:ascii="Verdana" w:hAnsi="Verdana" w:cs="Arial"/>
                <w:b/>
              </w:rPr>
              <w:t>Group:</w:t>
            </w:r>
          </w:p>
        </w:tc>
      </w:tr>
      <w:tr w:rsidR="00BB7B95" w:rsidRPr="007A2868" w:rsidTr="00186DC1">
        <w:trPr>
          <w:trHeight w:val="555"/>
        </w:trPr>
        <w:tc>
          <w:tcPr>
            <w:tcW w:w="9640" w:type="dxa"/>
            <w:gridSpan w:val="4"/>
            <w:tcBorders>
              <w:top w:val="single" w:sz="4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</w:tcPr>
          <w:p w:rsidR="00BB7B95" w:rsidRPr="007A2868" w:rsidRDefault="00585142" w:rsidP="00585142">
            <w:pPr>
              <w:spacing w:before="120" w:after="60"/>
              <w:ind w:left="72"/>
              <w:rPr>
                <w:rFonts w:ascii="Verdana" w:hAnsi="Verdana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2868">
              <w:rPr>
                <w:rFonts w:ascii="Verdana" w:hAnsi="Verdana" w:cs="Arial"/>
                <w:b/>
              </w:rPr>
              <w:t>Shop a</w:t>
            </w:r>
            <w:r w:rsidR="00C740A3" w:rsidRPr="007A2868">
              <w:rPr>
                <w:rFonts w:ascii="Verdana" w:hAnsi="Verdana" w:cs="Arial"/>
                <w:b/>
              </w:rPr>
              <w:t>ddress:</w:t>
            </w:r>
          </w:p>
        </w:tc>
      </w:tr>
      <w:tr w:rsidR="00ED4897" w:rsidRPr="007A2868" w:rsidTr="00186DC1">
        <w:tc>
          <w:tcPr>
            <w:tcW w:w="9640" w:type="dxa"/>
            <w:gridSpan w:val="4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</w:tcPr>
          <w:p w:rsidR="00ED4897" w:rsidRPr="007A2868" w:rsidRDefault="00ED4897" w:rsidP="00FD690C">
            <w:pPr>
              <w:spacing w:before="120" w:after="120"/>
              <w:ind w:left="74"/>
              <w:rPr>
                <w:rFonts w:ascii="Verdana" w:hAnsi="Verdana" w:cs="Arial"/>
              </w:rPr>
            </w:pPr>
            <w:r w:rsidRPr="007A2868">
              <w:rPr>
                <w:rFonts w:ascii="Verdana" w:hAnsi="Verdana" w:cs="Arial"/>
              </w:rPr>
              <w:t>“The ……………………………………………………………….</w:t>
            </w:r>
            <w:r w:rsidR="00FD690C" w:rsidRPr="007A2868">
              <w:rPr>
                <w:rFonts w:ascii="Verdana" w:hAnsi="Verdana" w:cs="Arial"/>
              </w:rPr>
              <w:t>group</w:t>
            </w:r>
            <w:r w:rsidRPr="007A2868">
              <w:rPr>
                <w:rFonts w:ascii="Verdana" w:hAnsi="Verdana" w:cs="Arial"/>
              </w:rPr>
              <w:t xml:space="preserve"> of the MS Society </w:t>
            </w:r>
            <w:r w:rsidR="00FD690C" w:rsidRPr="007A2868">
              <w:rPr>
                <w:rFonts w:ascii="Verdana" w:hAnsi="Verdana" w:cs="Arial"/>
              </w:rPr>
              <w:t>sell electrical goods. All electrical equipment will be portable appliance tested, however w</w:t>
            </w:r>
            <w:r w:rsidRPr="007A2868">
              <w:rPr>
                <w:rFonts w:ascii="Verdana" w:hAnsi="Verdana" w:cs="Arial"/>
              </w:rPr>
              <w:t xml:space="preserve">e </w:t>
            </w:r>
            <w:r w:rsidR="00FD690C" w:rsidRPr="007A2868">
              <w:rPr>
                <w:rFonts w:ascii="Verdana" w:hAnsi="Verdana" w:cs="Arial"/>
              </w:rPr>
              <w:t xml:space="preserve">will not have </w:t>
            </w:r>
            <w:r w:rsidRPr="007A2868">
              <w:rPr>
                <w:rFonts w:ascii="Verdana" w:hAnsi="Verdana" w:cs="Arial"/>
              </w:rPr>
              <w:t>examined the equipment</w:t>
            </w:r>
            <w:r w:rsidR="00FD690C" w:rsidRPr="007A2868">
              <w:rPr>
                <w:rFonts w:ascii="Verdana" w:hAnsi="Verdana" w:cs="Arial"/>
              </w:rPr>
              <w:t xml:space="preserve"> for other defects</w:t>
            </w:r>
            <w:r w:rsidRPr="007A2868">
              <w:rPr>
                <w:rFonts w:ascii="Verdana" w:hAnsi="Verdana" w:cs="Arial"/>
              </w:rPr>
              <w:t xml:space="preserve">, and make no recommendations or guarantees as to its condition or suitability for any particular user. We accept no liability for any harm however caused as a result of your purchasing and using such items. </w:t>
            </w:r>
          </w:p>
          <w:p w:rsidR="008436DB" w:rsidRDefault="008436DB" w:rsidP="00AA03EA">
            <w:pPr>
              <w:spacing w:after="120"/>
              <w:ind w:left="72"/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t xml:space="preserve">You are advised </w:t>
            </w:r>
            <w:r>
              <w:rPr>
                <w:rFonts w:ascii="Verdana" w:hAnsi="Verdana"/>
                <w:b/>
                <w:bCs/>
              </w:rPr>
              <w:t>never</w:t>
            </w:r>
            <w:r>
              <w:rPr>
                <w:rFonts w:ascii="Verdana" w:hAnsi="Verdana"/>
              </w:rPr>
              <w:t xml:space="preserve"> to purchase equipment without full manufacturer’s information / The CE marking and instructions for use</w:t>
            </w:r>
          </w:p>
          <w:p w:rsidR="00ED4897" w:rsidRPr="007A2868" w:rsidRDefault="00FD690C" w:rsidP="00AA03EA">
            <w:pPr>
              <w:spacing w:after="120"/>
              <w:ind w:left="72"/>
              <w:rPr>
                <w:rFonts w:ascii="Verdana" w:hAnsi="Verdana" w:cs="Arial"/>
              </w:rPr>
            </w:pPr>
            <w:bookmarkStart w:id="0" w:name="_GoBack"/>
            <w:bookmarkEnd w:id="0"/>
            <w:r w:rsidRPr="007A2868">
              <w:rPr>
                <w:rFonts w:ascii="Verdana" w:hAnsi="Verdana" w:cs="Arial"/>
              </w:rPr>
              <w:t xml:space="preserve">Any electrical or mechanical device should always undergo servicing and maintenance in accordance with manufacturers recommendations, and be inspected for condition at each and every use. </w:t>
            </w:r>
            <w:r w:rsidR="00ED4897" w:rsidRPr="007A2868">
              <w:rPr>
                <w:rFonts w:ascii="Verdana" w:hAnsi="Verdana" w:cs="Arial"/>
              </w:rPr>
              <w:t xml:space="preserve">You will need to source a local provider to service the equipment and carry out any necessary repairs. </w:t>
            </w:r>
            <w:smartTag w:uri="urn:schemas-microsoft-com:office:smarttags" w:element="place">
              <w:r w:rsidR="00ED4897" w:rsidRPr="007A2868">
                <w:rPr>
                  <w:rFonts w:ascii="Verdana" w:hAnsi="Verdana" w:cs="Arial"/>
                </w:rPr>
                <w:t>Battery</w:t>
              </w:r>
            </w:smartTag>
            <w:r w:rsidR="00ED4897" w:rsidRPr="007A2868">
              <w:rPr>
                <w:rFonts w:ascii="Verdana" w:hAnsi="Verdana" w:cs="Arial"/>
              </w:rPr>
              <w:t xml:space="preserve"> operated equipment should have had batteries regularly charged to ensure that they are still in working order. </w:t>
            </w:r>
          </w:p>
          <w:p w:rsidR="00ED4897" w:rsidRPr="007A2868" w:rsidRDefault="00ED4897" w:rsidP="00AA03EA">
            <w:pPr>
              <w:spacing w:before="120" w:after="240"/>
              <w:ind w:left="72"/>
              <w:rPr>
                <w:rFonts w:ascii="Verdana" w:hAnsi="Verdana" w:cs="Arial"/>
              </w:rPr>
            </w:pPr>
            <w:r w:rsidRPr="007A2868">
              <w:rPr>
                <w:rFonts w:ascii="Verdana" w:hAnsi="Verdana" w:cs="Arial"/>
              </w:rPr>
              <w:t>We advise you to contact the Disabled Living Foundation for guidance</w:t>
            </w:r>
            <w:r w:rsidR="00FD690C" w:rsidRPr="007A2868">
              <w:rPr>
                <w:rFonts w:ascii="Verdana" w:hAnsi="Verdana" w:cs="Arial"/>
              </w:rPr>
              <w:t xml:space="preserve"> on suitability of second hand electrical equipment</w:t>
            </w:r>
            <w:r w:rsidRPr="007A2868">
              <w:rPr>
                <w:rFonts w:ascii="Verdana" w:hAnsi="Verdana" w:cs="Arial"/>
              </w:rPr>
              <w:t xml:space="preserve">. Free leaflets are available to download from their site to help you make your selection. Local centres exist throughout the </w:t>
            </w:r>
            <w:smartTag w:uri="urn:schemas-microsoft-com:office:smarttags" w:element="place">
              <w:smartTag w:uri="urn:schemas-microsoft-com:office:smarttags" w:element="country-region">
                <w:r w:rsidRPr="007A2868">
                  <w:rPr>
                    <w:rFonts w:ascii="Verdana" w:hAnsi="Verdana" w:cs="Arial"/>
                  </w:rPr>
                  <w:t>UK</w:t>
                </w:r>
              </w:smartTag>
            </w:smartTag>
            <w:r w:rsidRPr="007A2868">
              <w:rPr>
                <w:rFonts w:ascii="Verdana" w:hAnsi="Verdana" w:cs="Arial"/>
              </w:rPr>
              <w:t xml:space="preserve">. </w:t>
            </w:r>
          </w:p>
          <w:p w:rsidR="00ED4897" w:rsidRPr="007A2868" w:rsidRDefault="008436DB" w:rsidP="00AA03EA">
            <w:pPr>
              <w:spacing w:before="120" w:after="240"/>
              <w:ind w:left="72"/>
              <w:rPr>
                <w:rFonts w:ascii="Verdana" w:hAnsi="Verdana" w:cs="Arial"/>
              </w:rPr>
            </w:pPr>
            <w:hyperlink r:id="rId6" w:tooltip="http://www.dlf.org.uk/factsheets/pdf/Sources_of_Second_Hand_Equipment.pdf&#10;blocked::http://www.dlf.org.uk/factsheets/pdf/Sources_of_Second_Hand_Equipment.pdf" w:history="1">
              <w:r w:rsidR="00ED4897" w:rsidRPr="007A2868">
                <w:rPr>
                  <w:rFonts w:ascii="Verdana" w:hAnsi="Verdana" w:cs="Arial"/>
                  <w:u w:val="single"/>
                </w:rPr>
                <w:t>http://www.dlf.org.uk/factsheets/pdf/Sources_of_Second_Hand_Equipment.pdf</w:t>
              </w:r>
            </w:hyperlink>
            <w:r w:rsidR="00ED4897" w:rsidRPr="007A2868">
              <w:rPr>
                <w:rFonts w:ascii="Verdana" w:hAnsi="Verdana" w:cs="Arial"/>
              </w:rPr>
              <w:t>  for guidance on choosing second hand equipment. “</w:t>
            </w:r>
          </w:p>
        </w:tc>
      </w:tr>
      <w:tr w:rsidR="00186DC1" w:rsidRPr="007A2868" w:rsidTr="00186DC1">
        <w:tc>
          <w:tcPr>
            <w:tcW w:w="2410" w:type="dxa"/>
            <w:tcBorders>
              <w:top w:val="double" w:sz="6" w:space="0" w:color="auto"/>
              <w:left w:val="double" w:sz="12" w:space="0" w:color="auto"/>
              <w:bottom w:val="double" w:sz="12" w:space="0" w:color="auto"/>
              <w:right w:val="nil"/>
            </w:tcBorders>
            <w:vAlign w:val="center"/>
          </w:tcPr>
          <w:p w:rsidR="00A87622" w:rsidRPr="00186DC1" w:rsidRDefault="00186DC1" w:rsidP="00186DC1">
            <w:pPr>
              <w:spacing w:before="180" w:after="120"/>
              <w:ind w:left="72"/>
              <w:rPr>
                <w:rFonts w:ascii="Verdana" w:hAnsi="Verdana" w:cs="Arial"/>
                <w:b/>
              </w:rPr>
            </w:pPr>
            <w:r w:rsidRPr="00186DC1">
              <w:rPr>
                <w:rFonts w:ascii="Verdana" w:hAnsi="Verdana" w:cs="Arial"/>
                <w:b/>
              </w:rPr>
              <w:t>Shop Manager:</w:t>
            </w:r>
          </w:p>
        </w:tc>
        <w:tc>
          <w:tcPr>
            <w:tcW w:w="4678" w:type="dxa"/>
            <w:tcBorders>
              <w:top w:val="double" w:sz="6" w:space="0" w:color="auto"/>
              <w:left w:val="nil"/>
              <w:bottom w:val="double" w:sz="12" w:space="0" w:color="auto"/>
              <w:right w:val="single" w:sz="4" w:space="0" w:color="auto"/>
            </w:tcBorders>
            <w:vAlign w:val="center"/>
          </w:tcPr>
          <w:p w:rsidR="00A87622" w:rsidRPr="007A2868" w:rsidRDefault="00A87622" w:rsidP="00BF382E">
            <w:pPr>
              <w:spacing w:before="180" w:after="120"/>
              <w:ind w:right="-516"/>
              <w:rPr>
                <w:rFonts w:ascii="Verdana" w:hAnsi="Verdana" w:cs="Arial"/>
              </w:rPr>
            </w:pPr>
          </w:p>
        </w:tc>
        <w:tc>
          <w:tcPr>
            <w:tcW w:w="2245" w:type="dxa"/>
            <w:tcBorders>
              <w:top w:val="double" w:sz="6" w:space="0" w:color="auto"/>
              <w:left w:val="single" w:sz="4" w:space="0" w:color="auto"/>
              <w:bottom w:val="double" w:sz="12" w:space="0" w:color="auto"/>
              <w:right w:val="nil"/>
            </w:tcBorders>
            <w:vAlign w:val="center"/>
          </w:tcPr>
          <w:p w:rsidR="00A87622" w:rsidRPr="00186DC1" w:rsidRDefault="00A87622" w:rsidP="00BF382E">
            <w:pPr>
              <w:spacing w:before="180" w:after="120"/>
              <w:ind w:right="-516"/>
              <w:rPr>
                <w:rFonts w:ascii="Verdana" w:hAnsi="Verdana" w:cs="Arial"/>
                <w:b/>
              </w:rPr>
            </w:pPr>
            <w:r w:rsidRPr="00186DC1">
              <w:rPr>
                <w:rFonts w:ascii="Verdana" w:hAnsi="Verdana" w:cs="Arial"/>
                <w:b/>
              </w:rPr>
              <w:t>Date:</w:t>
            </w:r>
          </w:p>
        </w:tc>
        <w:tc>
          <w:tcPr>
            <w:tcW w:w="307" w:type="dxa"/>
            <w:tcBorders>
              <w:top w:val="double" w:sz="6" w:space="0" w:color="auto"/>
              <w:left w:val="nil"/>
              <w:bottom w:val="double" w:sz="12" w:space="0" w:color="auto"/>
              <w:right w:val="double" w:sz="12" w:space="0" w:color="auto"/>
            </w:tcBorders>
            <w:vAlign w:val="center"/>
          </w:tcPr>
          <w:p w:rsidR="00A87622" w:rsidRPr="007A2868" w:rsidRDefault="00A87622" w:rsidP="00BF382E">
            <w:pPr>
              <w:spacing w:before="180" w:after="120"/>
              <w:ind w:right="-516"/>
              <w:rPr>
                <w:rFonts w:ascii="Verdana" w:hAnsi="Verdana" w:cs="Arial"/>
              </w:rPr>
            </w:pPr>
          </w:p>
        </w:tc>
      </w:tr>
    </w:tbl>
    <w:p w:rsidR="005D3637" w:rsidRPr="007A2868" w:rsidRDefault="005D3637" w:rsidP="007A2868">
      <w:pPr>
        <w:spacing w:after="120"/>
        <w:ind w:left="-709" w:right="-514"/>
        <w:rPr>
          <w:rFonts w:ascii="Verdana" w:hAnsi="Verdana" w:cs="Arial"/>
          <w:sz w:val="16"/>
          <w:szCs w:val="16"/>
        </w:rPr>
      </w:pPr>
    </w:p>
    <w:sectPr w:rsidR="005D3637" w:rsidRPr="007A2868" w:rsidSect="007A2868">
      <w:headerReference w:type="default" r:id="rId7"/>
      <w:footerReference w:type="default" r:id="rId8"/>
      <w:pgSz w:w="11906" w:h="16838"/>
      <w:pgMar w:top="1741" w:right="991" w:bottom="899" w:left="1800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C4" w:rsidRDefault="005812C4">
      <w:r>
        <w:separator/>
      </w:r>
    </w:p>
  </w:endnote>
  <w:endnote w:type="continuationSeparator" w:id="0">
    <w:p w:rsidR="005812C4" w:rsidRDefault="0058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4E6" w:rsidRPr="007A2868" w:rsidRDefault="007A2868" w:rsidP="007A2868">
    <w:pPr>
      <w:pStyle w:val="Footer"/>
      <w:pBdr>
        <w:top w:val="single" w:sz="12" w:space="1" w:color="F79646"/>
      </w:pBdr>
      <w:tabs>
        <w:tab w:val="clear" w:pos="4153"/>
        <w:tab w:val="clear" w:pos="8306"/>
        <w:tab w:val="left" w:pos="3686"/>
        <w:tab w:val="right" w:pos="14175"/>
      </w:tabs>
      <w:ind w:left="-709" w:right="184"/>
      <w:rPr>
        <w:rFonts w:ascii="Verdana" w:hAnsi="Verdana" w:cs="Arial"/>
        <w:sz w:val="16"/>
        <w:szCs w:val="16"/>
      </w:rPr>
    </w:pPr>
    <w:r w:rsidRPr="00AB24E0">
      <w:rPr>
        <w:rFonts w:ascii="Verdana" w:hAnsi="Verdana" w:cs="Arial"/>
        <w:sz w:val="16"/>
        <w:szCs w:val="16"/>
      </w:rPr>
      <w:t>J</w:t>
    </w:r>
    <w:r>
      <w:rPr>
        <w:rFonts w:ascii="Verdana" w:hAnsi="Verdana" w:cs="Arial"/>
        <w:sz w:val="16"/>
        <w:szCs w:val="16"/>
      </w:rPr>
      <w:t>D Rev 3</w:t>
    </w:r>
    <w:r>
      <w:rPr>
        <w:rFonts w:ascii="Verdana" w:hAnsi="Verdana" w:cs="Arial"/>
        <w:sz w:val="16"/>
        <w:szCs w:val="16"/>
      </w:rPr>
      <w:tab/>
      <w:t>May</w:t>
    </w:r>
    <w:r w:rsidRPr="00AB24E0">
      <w:rPr>
        <w:rFonts w:ascii="Verdana" w:hAnsi="Verdana" w:cs="Arial"/>
        <w:sz w:val="16"/>
        <w:szCs w:val="16"/>
      </w:rPr>
      <w:t xml:space="preserve"> 2021                                                   </w:t>
    </w:r>
    <w:r>
      <w:rPr>
        <w:rFonts w:ascii="Verdana" w:hAnsi="Verdana" w:cs="Arial"/>
        <w:sz w:val="16"/>
        <w:szCs w:val="16"/>
      </w:rPr>
      <w:t xml:space="preserve">   </w:t>
    </w:r>
    <w:r w:rsidRPr="00AB24E0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</w:rPr>
      <w:t xml:space="preserve">      </w:t>
    </w:r>
    <w:r w:rsidRPr="00AB24E0">
      <w:rPr>
        <w:rFonts w:ascii="Verdana" w:hAnsi="Verdana" w:cs="Arial"/>
        <w:sz w:val="16"/>
        <w:szCs w:val="16"/>
      </w:rPr>
      <w:t xml:space="preserve"> </w:t>
    </w:r>
    <w:r w:rsidRPr="00AB24E0">
      <w:rPr>
        <w:rFonts w:ascii="Verdana" w:hAnsi="Verdana"/>
        <w:sz w:val="16"/>
        <w:szCs w:val="16"/>
      </w:rPr>
      <w:t xml:space="preserve">Page </w:t>
    </w:r>
    <w:r w:rsidRPr="00AB24E0">
      <w:rPr>
        <w:rStyle w:val="PageNumber"/>
        <w:rFonts w:ascii="Verdana" w:hAnsi="Verdana" w:cs="Arial"/>
        <w:sz w:val="16"/>
        <w:szCs w:val="16"/>
      </w:rPr>
      <w:fldChar w:fldCharType="begin"/>
    </w:r>
    <w:r w:rsidRPr="00AB24E0">
      <w:rPr>
        <w:rStyle w:val="PageNumber"/>
        <w:rFonts w:ascii="Verdana" w:hAnsi="Verdana" w:cs="Arial"/>
        <w:sz w:val="16"/>
        <w:szCs w:val="16"/>
      </w:rPr>
      <w:instrText xml:space="preserve"> PAGE </w:instrText>
    </w:r>
    <w:r w:rsidRPr="00AB24E0">
      <w:rPr>
        <w:rStyle w:val="PageNumber"/>
        <w:rFonts w:ascii="Verdana" w:hAnsi="Verdana" w:cs="Arial"/>
        <w:sz w:val="16"/>
        <w:szCs w:val="16"/>
      </w:rPr>
      <w:fldChar w:fldCharType="separate"/>
    </w:r>
    <w:r w:rsidR="008436DB">
      <w:rPr>
        <w:rStyle w:val="PageNumber"/>
        <w:rFonts w:ascii="Verdana" w:hAnsi="Verdana" w:cs="Arial"/>
        <w:noProof/>
        <w:sz w:val="16"/>
        <w:szCs w:val="16"/>
      </w:rPr>
      <w:t>1</w:t>
    </w:r>
    <w:r w:rsidRPr="00AB24E0">
      <w:rPr>
        <w:rStyle w:val="PageNumber"/>
        <w:rFonts w:ascii="Verdana" w:hAnsi="Verdana" w:cs="Arial"/>
        <w:sz w:val="16"/>
        <w:szCs w:val="16"/>
      </w:rPr>
      <w:fldChar w:fldCharType="end"/>
    </w:r>
    <w:r w:rsidRPr="00AB24E0">
      <w:rPr>
        <w:rStyle w:val="PageNumber"/>
        <w:rFonts w:ascii="Verdana" w:hAnsi="Verdana" w:cs="Arial"/>
        <w:sz w:val="16"/>
        <w:szCs w:val="16"/>
      </w:rPr>
      <w:t xml:space="preserve"> of </w:t>
    </w:r>
    <w:r w:rsidRPr="00AB24E0">
      <w:rPr>
        <w:rStyle w:val="PageNumber"/>
        <w:rFonts w:ascii="Verdana" w:hAnsi="Verdana" w:cs="Arial"/>
        <w:sz w:val="16"/>
        <w:szCs w:val="16"/>
      </w:rPr>
      <w:fldChar w:fldCharType="begin"/>
    </w:r>
    <w:r w:rsidRPr="00AB24E0">
      <w:rPr>
        <w:rStyle w:val="PageNumber"/>
        <w:rFonts w:ascii="Verdana" w:hAnsi="Verdana" w:cs="Arial"/>
        <w:sz w:val="16"/>
        <w:szCs w:val="16"/>
      </w:rPr>
      <w:instrText xml:space="preserve"> NUMPAGES </w:instrText>
    </w:r>
    <w:r w:rsidRPr="00AB24E0">
      <w:rPr>
        <w:rStyle w:val="PageNumber"/>
        <w:rFonts w:ascii="Verdana" w:hAnsi="Verdana" w:cs="Arial"/>
        <w:sz w:val="16"/>
        <w:szCs w:val="16"/>
      </w:rPr>
      <w:fldChar w:fldCharType="separate"/>
    </w:r>
    <w:r w:rsidR="008436DB">
      <w:rPr>
        <w:rStyle w:val="PageNumber"/>
        <w:rFonts w:ascii="Verdana" w:hAnsi="Verdana" w:cs="Arial"/>
        <w:noProof/>
        <w:sz w:val="16"/>
        <w:szCs w:val="16"/>
      </w:rPr>
      <w:t>1</w:t>
    </w:r>
    <w:r w:rsidRPr="00AB24E0">
      <w:rPr>
        <w:rStyle w:val="PageNumber"/>
        <w:rFonts w:ascii="Verdana" w:hAnsi="Verdan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C4" w:rsidRDefault="005812C4">
      <w:r>
        <w:separator/>
      </w:r>
    </w:p>
  </w:footnote>
  <w:footnote w:type="continuationSeparator" w:id="0">
    <w:p w:rsidR="005812C4" w:rsidRDefault="00581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4E6" w:rsidRDefault="005F3B7D" w:rsidP="005F3B7D">
    <w:pPr>
      <w:pStyle w:val="Header"/>
      <w:tabs>
        <w:tab w:val="clear" w:pos="415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-457835</wp:posOffset>
              </wp:positionH>
              <wp:positionV relativeFrom="paragraph">
                <wp:posOffset>407670</wp:posOffset>
              </wp:positionV>
              <wp:extent cx="2466975" cy="228600"/>
              <wp:effectExtent l="0" t="0" r="2857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04E6" w:rsidRPr="005F3B7D" w:rsidRDefault="00CB04E6" w:rsidP="00262459">
                          <w:pPr>
                            <w:pStyle w:val="Header"/>
                            <w:ind w:right="-300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F3B7D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Information Document HSV: 1</w:t>
                          </w:r>
                          <w:r w:rsidR="00ED4897" w:rsidRPr="005F3B7D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05pt;margin-top:32.1pt;width:194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">
              <v:textbox>
                <w:txbxContent>
                  <w:p w:rsidR="00CB04E6" w:rsidRPr="005F3B7D" w:rsidRDefault="00CB04E6" w:rsidP="00262459">
                    <w:pPr>
                      <w:pStyle w:val="Header"/>
                      <w:ind w:right="-300"/>
                      <w:rPr>
                        <w:rFonts w:ascii="Verdana" w:hAnsi="Verdana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F3B7D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Information Document HSV: 1</w:t>
                    </w:r>
                    <w:r w:rsidR="00ED4897" w:rsidRPr="005F3B7D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50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D27C5">
      <w:rPr>
        <w:noProof/>
      </w:rPr>
      <w:drawing>
        <wp:inline distT="0" distB="0" distL="0" distR="0" wp14:anchorId="572F3672" wp14:editId="494898F1">
          <wp:extent cx="1219200" cy="752475"/>
          <wp:effectExtent l="0" t="0" r="0" b="9525"/>
          <wp:docPr id="9" name="Picture 1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37"/>
    <w:rsid w:val="00186DC1"/>
    <w:rsid w:val="001D7077"/>
    <w:rsid w:val="001E3238"/>
    <w:rsid w:val="00205EFC"/>
    <w:rsid w:val="002135C1"/>
    <w:rsid w:val="00262459"/>
    <w:rsid w:val="002D59B3"/>
    <w:rsid w:val="00395CA0"/>
    <w:rsid w:val="004532F9"/>
    <w:rsid w:val="00454D9D"/>
    <w:rsid w:val="00472E9D"/>
    <w:rsid w:val="00474AD7"/>
    <w:rsid w:val="005812C4"/>
    <w:rsid w:val="00585142"/>
    <w:rsid w:val="005D3637"/>
    <w:rsid w:val="005F3B7D"/>
    <w:rsid w:val="00610FB5"/>
    <w:rsid w:val="00635AD6"/>
    <w:rsid w:val="006758C4"/>
    <w:rsid w:val="00797960"/>
    <w:rsid w:val="007A2868"/>
    <w:rsid w:val="007D425E"/>
    <w:rsid w:val="008436DB"/>
    <w:rsid w:val="008E14DC"/>
    <w:rsid w:val="008F2CEE"/>
    <w:rsid w:val="00917E1A"/>
    <w:rsid w:val="00957F2E"/>
    <w:rsid w:val="00985E75"/>
    <w:rsid w:val="009F5E6E"/>
    <w:rsid w:val="009F66CD"/>
    <w:rsid w:val="00A633F7"/>
    <w:rsid w:val="00A66CBD"/>
    <w:rsid w:val="00A87622"/>
    <w:rsid w:val="00AA03EA"/>
    <w:rsid w:val="00AD4CBD"/>
    <w:rsid w:val="00B644F6"/>
    <w:rsid w:val="00B834B8"/>
    <w:rsid w:val="00BB7B95"/>
    <w:rsid w:val="00BF382E"/>
    <w:rsid w:val="00C740A3"/>
    <w:rsid w:val="00CB04E6"/>
    <w:rsid w:val="00ED4897"/>
    <w:rsid w:val="00EE7EF8"/>
    <w:rsid w:val="00F83864"/>
    <w:rsid w:val="00FB1B5D"/>
    <w:rsid w:val="00FB3878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1CB9FB70-A0A2-4882-AFDD-354EED50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paragraph" w:styleId="Heading3">
    <w:name w:val="heading 3"/>
    <w:basedOn w:val="Normal"/>
    <w:next w:val="Normal"/>
    <w:qFormat/>
    <w:rsid w:val="00BB7B95"/>
    <w:pPr>
      <w:keepNext/>
      <w:outlineLvl w:val="2"/>
    </w:pPr>
    <w:rPr>
      <w:rFonts w:ascii="Times New Roman" w:hAnsi="Times New Roman"/>
      <w:b/>
      <w:bCs/>
      <w:sz w:val="4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3637"/>
    <w:rPr>
      <w:color w:val="0000FF"/>
      <w:u w:val="single"/>
    </w:rPr>
  </w:style>
  <w:style w:type="table" w:styleId="TableGrid">
    <w:name w:val="Table Grid"/>
    <w:basedOn w:val="TableNormal"/>
    <w:rsid w:val="00A87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624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624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B04E6"/>
  </w:style>
  <w:style w:type="character" w:customStyle="1" w:styleId="FooterChar">
    <w:name w:val="Footer Char"/>
    <w:link w:val="Footer"/>
    <w:uiPriority w:val="99"/>
    <w:rsid w:val="007A2868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lf.org.uk/factsheets/pdf/Sources_of_Second_Hand_Equipment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disclaimer below was agreed between Simone Plaut and the legal department and should be used where any branch sells or gives away equipment of any sort</vt:lpstr>
    </vt:vector>
  </TitlesOfParts>
  <Company/>
  <LinksUpToDate>false</LinksUpToDate>
  <CharactersWithSpaces>1699</CharactersWithSpaces>
  <SharedDoc>false</SharedDoc>
  <HLinks>
    <vt:vector size="12" baseType="variant">
      <vt:variant>
        <vt:i4>4587586</vt:i4>
      </vt:variant>
      <vt:variant>
        <vt:i4>3</vt:i4>
      </vt:variant>
      <vt:variant>
        <vt:i4>0</vt:i4>
      </vt:variant>
      <vt:variant>
        <vt:i4>5</vt:i4>
      </vt:variant>
      <vt:variant>
        <vt:lpwstr>http://www.dlf.org.uk/factsheets/pdf/Sources_of_Second_Hand_Equipment.pdf</vt:lpwstr>
      </vt:variant>
      <vt:variant>
        <vt:lpwstr/>
      </vt:variant>
      <vt:variant>
        <vt:i4>5242911</vt:i4>
      </vt:variant>
      <vt:variant>
        <vt:i4>0</vt:i4>
      </vt:variant>
      <vt:variant>
        <vt:i4>0</vt:i4>
      </vt:variant>
      <vt:variant>
        <vt:i4>5</vt:i4>
      </vt:variant>
      <vt:variant>
        <vt:lpwstr>http://www.dlf.org.uk/public/factsheets.html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disclaimer below was agreed between Simone Plaut and the legal department and should be used where any branch sells or gives away equipment of any sort</dc:title>
  <dc:subject/>
  <dc:creator>jduffy</dc:creator>
  <cp:keywords/>
  <dc:description/>
  <cp:lastModifiedBy>Jo Duffy</cp:lastModifiedBy>
  <cp:revision>7</cp:revision>
  <cp:lastPrinted>2012-09-12T07:38:00Z</cp:lastPrinted>
  <dcterms:created xsi:type="dcterms:W3CDTF">2021-06-02T07:48:00Z</dcterms:created>
  <dcterms:modified xsi:type="dcterms:W3CDTF">2021-06-02T10:28:00Z</dcterms:modified>
</cp:coreProperties>
</file>